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8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ultiperspektivluftbildbefliegung im Frühjahr 2027 in fünf regionalen Teil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